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безопасности,</w:t>
      </w:r>
      <w:r w:rsidRPr="00D94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</w:t>
      </w:r>
      <w:r w:rsidRPr="00D94D49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D94D49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Москален</w:t>
      </w:r>
      <w:r w:rsidR="00B52D39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E971E1">
        <w:rPr>
          <w:sz w:val="28"/>
          <w:szCs w:val="28"/>
          <w:shd w:val="clear" w:color="auto" w:fill="FFFFFF"/>
        </w:rPr>
        <w:t xml:space="preserve">изготовление и </w:t>
      </w:r>
      <w:r>
        <w:rPr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37864" w:rsidRDefault="00A3786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7D3C16" w:rsidRPr="007D3C16" w:rsidRDefault="00A37864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37864" w:rsidRDefault="00A37864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26382B" w:rsidRDefault="0026382B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01694" w:rsidRDefault="00A01694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11C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</w:t>
      </w:r>
      <w:r w:rsidRPr="00D9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определяется на основании распоряжения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01694" w:rsidRDefault="00A0169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подготовку и прохождение отопительного периода для оплаты потребления топливно-энергетических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9D77F4" w:rsidRDefault="009D77F4" w:rsidP="00021495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="00E971E1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21495"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 w:rsidR="00021495"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подтверждающих документов)</w:t>
      </w:r>
      <w:r w:rsidRPr="00A948F6">
        <w:rPr>
          <w:rFonts w:ascii="Times New Roman" w:hAnsi="Times New Roman" w:cs="Times New Roman"/>
          <w:sz w:val="28"/>
          <w:szCs w:val="28"/>
        </w:rPr>
        <w:t>.</w:t>
      </w:r>
    </w:p>
    <w:p w:rsidR="00A948F6" w:rsidRDefault="00A948F6" w:rsidP="00A948F6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D1F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8E385D" w:rsidRDefault="008E385D" w:rsidP="008E385D">
      <w:pPr>
        <w:pStyle w:val="ad"/>
        <w:rPr>
          <w:sz w:val="28"/>
          <w:szCs w:val="28"/>
        </w:rPr>
      </w:pPr>
    </w:p>
    <w:p w:rsidR="002E5AD0" w:rsidRPr="002E5AD0" w:rsidRDefault="002E5AD0" w:rsidP="008E385D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 дальнейшего участия 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E5AD0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проектов, объявленном Министерством финансов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85D" w:rsidRPr="00016D75" w:rsidRDefault="008E385D" w:rsidP="002E5AD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E385D" w:rsidRPr="00893D3A" w:rsidRDefault="008E385D" w:rsidP="008E385D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Start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="00A01694">
        <w:rPr>
          <w:sz w:val="28"/>
          <w:szCs w:val="28"/>
        </w:rPr>
        <w:t>К</w:t>
      </w:r>
      <w:proofErr w:type="gramEnd"/>
      <w:r w:rsidR="00A01694">
        <w:rPr>
          <w:sz w:val="28"/>
          <w:szCs w:val="28"/>
        </w:rPr>
        <w:t xml:space="preserve"> </w:t>
      </w:r>
      <w:proofErr w:type="spellStart"/>
      <w:r w:rsidR="00A01694">
        <w:rPr>
          <w:sz w:val="28"/>
          <w:szCs w:val="28"/>
        </w:rPr>
        <w:t>х</w:t>
      </w:r>
      <w:proofErr w:type="spellEnd"/>
      <w:r w:rsidR="00A016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8E385D" w:rsidRPr="00016D75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8E385D" w:rsidRDefault="008E385D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A01694" w:rsidRDefault="00A01694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количество </w:t>
      </w:r>
      <w:r>
        <w:rPr>
          <w:bCs/>
          <w:sz w:val="28"/>
          <w:szCs w:val="28"/>
        </w:rPr>
        <w:t>инициативных проектов,</w:t>
      </w:r>
    </w:p>
    <w:p w:rsidR="008E385D" w:rsidRDefault="008E385D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 w:rsidR="00266937"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предполагаемый к выделению из районного бюджета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 xml:space="preserve">разработку проектно-сметной документации для участия в конкурсном отборе </w:t>
      </w:r>
      <w:r w:rsidRPr="008E385D">
        <w:rPr>
          <w:sz w:val="28"/>
          <w:szCs w:val="28"/>
        </w:rPr>
        <w:lastRenderedPageBreak/>
        <w:t>инициативных проектов</w:t>
      </w:r>
      <w:r w:rsidR="00266937" w:rsidRPr="00266937">
        <w:rPr>
          <w:sz w:val="28"/>
          <w:szCs w:val="28"/>
        </w:rPr>
        <w:t xml:space="preserve"> </w:t>
      </w:r>
      <w:r w:rsidR="00266937" w:rsidRPr="00A948F6">
        <w:rPr>
          <w:sz w:val="28"/>
          <w:szCs w:val="28"/>
        </w:rPr>
        <w:t>на основании подтверждающих документов</w:t>
      </w:r>
      <w:r w:rsidR="00266937"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</w:t>
      </w:r>
      <w:r w:rsidR="0026693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CC299A" w:rsidRPr="008E385D" w:rsidRDefault="00CC299A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266937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D0" w:rsidRDefault="002E5A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948F6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937">
        <w:rPr>
          <w:rFonts w:ascii="Times New Roman" w:hAnsi="Times New Roman" w:cs="Times New Roman"/>
          <w:sz w:val="28"/>
          <w:szCs w:val="28"/>
        </w:rPr>
        <w:t>1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66937">
        <w:rPr>
          <w:rFonts w:ascii="Times New Roman" w:hAnsi="Times New Roman" w:cs="Times New Roman"/>
          <w:bCs/>
          <w:sz w:val="28"/>
          <w:szCs w:val="28"/>
        </w:rPr>
        <w:t>2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62" w:rsidRDefault="00981162">
      <w:r>
        <w:separator/>
      </w:r>
    </w:p>
  </w:endnote>
  <w:endnote w:type="continuationSeparator" w:id="0">
    <w:p w:rsidR="00981162" w:rsidRDefault="0098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62" w:rsidRDefault="00981162">
      <w:r>
        <w:separator/>
      </w:r>
    </w:p>
  </w:footnote>
  <w:footnote w:type="continuationSeparator" w:id="0">
    <w:p w:rsidR="00981162" w:rsidRDefault="00981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1BA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382B"/>
    <w:rsid w:val="00265A0D"/>
    <w:rsid w:val="00265D85"/>
    <w:rsid w:val="00266937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9649F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5AD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1B3C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46ACA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91AAD"/>
    <w:rsid w:val="005936CB"/>
    <w:rsid w:val="00596B3C"/>
    <w:rsid w:val="005A077A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0740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31D8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385D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62"/>
    <w:rsid w:val="009811C5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C6F52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1694"/>
    <w:rsid w:val="00A023F7"/>
    <w:rsid w:val="00A04E72"/>
    <w:rsid w:val="00A0548D"/>
    <w:rsid w:val="00A054A7"/>
    <w:rsid w:val="00A1164E"/>
    <w:rsid w:val="00A12D83"/>
    <w:rsid w:val="00A13913"/>
    <w:rsid w:val="00A14D56"/>
    <w:rsid w:val="00A1522B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37864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371F6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299A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2C51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6832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1E1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F60"/>
    <w:rsid w:val="00F34713"/>
    <w:rsid w:val="00F34F08"/>
    <w:rsid w:val="00F35939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  <w:style w:type="character" w:customStyle="1" w:styleId="FontStyle17">
    <w:name w:val="Font Style17"/>
    <w:rsid w:val="008E385D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C341-B0CA-4EAE-908E-443913C4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12</cp:revision>
  <cp:lastPrinted>2023-04-21T03:17:00Z</cp:lastPrinted>
  <dcterms:created xsi:type="dcterms:W3CDTF">2023-07-10T10:01:00Z</dcterms:created>
  <dcterms:modified xsi:type="dcterms:W3CDTF">2023-09-05T06:05:00Z</dcterms:modified>
</cp:coreProperties>
</file>