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="00090F3B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090F3B">
        <w:rPr>
          <w:rFonts w:eastAsiaTheme="minorHAnsi"/>
          <w:sz w:val="28"/>
          <w:szCs w:val="28"/>
          <w:lang w:eastAsia="en-US"/>
        </w:rPr>
        <w:t>31.07.2024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090F3B">
        <w:rPr>
          <w:rFonts w:eastAsiaTheme="minorHAnsi"/>
          <w:sz w:val="28"/>
          <w:szCs w:val="28"/>
          <w:lang w:eastAsia="en-US"/>
        </w:rPr>
        <w:t>42</w:t>
      </w:r>
      <w:r w:rsidR="00C93355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C93355">
        <w:rPr>
          <w:rFonts w:eastAsiaTheme="minorHAnsi"/>
          <w:sz w:val="28"/>
          <w:szCs w:val="28"/>
          <w:lang w:eastAsia="en-US"/>
        </w:rPr>
        <w:t>28.08.2024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C93355">
        <w:rPr>
          <w:rFonts w:eastAsiaTheme="minorHAnsi"/>
          <w:sz w:val="28"/>
          <w:szCs w:val="28"/>
          <w:lang w:eastAsia="en-US"/>
        </w:rPr>
        <w:t>48</w:t>
      </w:r>
      <w:r w:rsidR="00853AFD">
        <w:rPr>
          <w:rFonts w:eastAsiaTheme="minorHAnsi"/>
          <w:sz w:val="28"/>
          <w:szCs w:val="28"/>
          <w:lang w:eastAsia="en-US"/>
        </w:rPr>
        <w:t>, от 25.09.2024 № 55</w:t>
      </w:r>
      <w:r w:rsidR="00FF4850">
        <w:rPr>
          <w:rFonts w:eastAsiaTheme="minorHAnsi"/>
          <w:sz w:val="28"/>
          <w:szCs w:val="28"/>
          <w:lang w:eastAsia="en-US"/>
        </w:rPr>
        <w:t>, от 30.10.2024 № 62</w:t>
      </w:r>
      <w:r w:rsidR="000336FF">
        <w:rPr>
          <w:rFonts w:eastAsiaTheme="minorHAnsi"/>
          <w:sz w:val="28"/>
          <w:szCs w:val="28"/>
          <w:lang w:eastAsia="en-US"/>
        </w:rPr>
        <w:t>, от 20.11.2024 № 71</w:t>
      </w:r>
      <w:r w:rsidR="007B5FCE">
        <w:rPr>
          <w:rFonts w:eastAsiaTheme="minorHAnsi"/>
          <w:sz w:val="28"/>
          <w:szCs w:val="28"/>
          <w:lang w:eastAsia="en-US"/>
        </w:rPr>
        <w:t>, от 04.12.2024 № 78</w:t>
      </w:r>
      <w:r w:rsidR="00845D2D">
        <w:rPr>
          <w:rFonts w:eastAsiaTheme="minorHAnsi"/>
          <w:sz w:val="28"/>
          <w:szCs w:val="28"/>
          <w:lang w:eastAsia="en-US"/>
        </w:rPr>
        <w:t>, от 25.12.2024 № 84</w:t>
      </w:r>
      <w:r w:rsidRPr="00E43E41">
        <w:rPr>
          <w:rFonts w:eastAsiaTheme="minorHAnsi"/>
          <w:sz w:val="28"/>
          <w:szCs w:val="28"/>
          <w:lang w:eastAsia="en-US"/>
        </w:rPr>
        <w:t>)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787DD8">
        <w:rPr>
          <w:szCs w:val="28"/>
        </w:rPr>
        <w:t>1330427824,01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787DD8">
        <w:rPr>
          <w:szCs w:val="28"/>
        </w:rPr>
        <w:t>1342777362,67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787DD8">
        <w:rPr>
          <w:szCs w:val="28"/>
        </w:rPr>
        <w:t>12349538,66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83E0F">
        <w:rPr>
          <w:szCs w:val="28"/>
        </w:rPr>
        <w:t>991592902,53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83E0F">
        <w:rPr>
          <w:szCs w:val="28"/>
        </w:rPr>
        <w:t>991592902,53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804F22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804F22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804F22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804F22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845D2D">
        <w:rPr>
          <w:szCs w:val="28"/>
        </w:rPr>
        <w:t>16565858,37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7B5FCE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783D64">
        <w:rPr>
          <w:szCs w:val="28"/>
        </w:rPr>
        <w:t>30493138,73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6E2E4A">
        <w:rPr>
          <w:szCs w:val="28"/>
        </w:rPr>
        <w:t>462676,00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804F22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804F22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804F22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804F22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804F22" w:rsidRPr="00F5044C">
        <w:rPr>
          <w:szCs w:val="28"/>
        </w:rPr>
        <w:fldChar w:fldCharType="end"/>
      </w:r>
    </w:p>
    <w:p w:rsid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804F22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804F22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804F22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845D2D">
        <w:rPr>
          <w:szCs w:val="28"/>
        </w:rPr>
        <w:t>988064153,05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526D6E">
        <w:rPr>
          <w:szCs w:val="28"/>
        </w:rPr>
        <w:t>608163996,29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565C67">
        <w:rPr>
          <w:szCs w:val="28"/>
        </w:rPr>
        <w:t>692634626,65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804F22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845D2D">
        <w:rPr>
          <w:szCs w:val="28"/>
        </w:rPr>
        <w:t>97714496,67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804F22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845D2D">
        <w:rPr>
          <w:bCs/>
          <w:szCs w:val="28"/>
        </w:rPr>
        <w:t>48081647,67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8765CD" w:rsidRPr="002D7FF5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8765CD" w:rsidRPr="00A32D83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8765CD" w:rsidRPr="00F64BCD" w:rsidRDefault="008765CD" w:rsidP="008765CD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804F22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804F22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</w:t>
      </w:r>
      <w:r w:rsidRPr="00125A3E">
        <w:rPr>
          <w:szCs w:val="28"/>
        </w:rPr>
        <w:lastRenderedPageBreak/>
        <w:t>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804F22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 xml:space="preserve"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</w:t>
      </w:r>
      <w:r w:rsidRPr="00A81D81">
        <w:rPr>
          <w:sz w:val="28"/>
          <w:szCs w:val="28"/>
        </w:rPr>
        <w:lastRenderedPageBreak/>
        <w:t>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336FF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0F3B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660EE"/>
    <w:rsid w:val="0018292B"/>
    <w:rsid w:val="00182A3D"/>
    <w:rsid w:val="00183E0F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27B9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9500A"/>
    <w:rsid w:val="003A0113"/>
    <w:rsid w:val="003A0BA6"/>
    <w:rsid w:val="003C4176"/>
    <w:rsid w:val="003D0E93"/>
    <w:rsid w:val="003D6C21"/>
    <w:rsid w:val="003E2E72"/>
    <w:rsid w:val="003E36CA"/>
    <w:rsid w:val="003F10A6"/>
    <w:rsid w:val="003F13D7"/>
    <w:rsid w:val="003F7F96"/>
    <w:rsid w:val="00403FF3"/>
    <w:rsid w:val="00415C5E"/>
    <w:rsid w:val="00427D05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26D6E"/>
    <w:rsid w:val="00531CC8"/>
    <w:rsid w:val="00534592"/>
    <w:rsid w:val="0054392C"/>
    <w:rsid w:val="0054591F"/>
    <w:rsid w:val="00551201"/>
    <w:rsid w:val="0055459B"/>
    <w:rsid w:val="00555A3E"/>
    <w:rsid w:val="00565C67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5F23AF"/>
    <w:rsid w:val="006114ED"/>
    <w:rsid w:val="00621957"/>
    <w:rsid w:val="0063237B"/>
    <w:rsid w:val="00635D07"/>
    <w:rsid w:val="006370C0"/>
    <w:rsid w:val="00637906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2E4A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3D64"/>
    <w:rsid w:val="00786B5B"/>
    <w:rsid w:val="00786D09"/>
    <w:rsid w:val="00787DD8"/>
    <w:rsid w:val="007936CA"/>
    <w:rsid w:val="00794BDF"/>
    <w:rsid w:val="00795E07"/>
    <w:rsid w:val="007B3170"/>
    <w:rsid w:val="007B5FCE"/>
    <w:rsid w:val="007C2B5A"/>
    <w:rsid w:val="007D39E2"/>
    <w:rsid w:val="007E4F28"/>
    <w:rsid w:val="007E74B7"/>
    <w:rsid w:val="007E7908"/>
    <w:rsid w:val="008032B3"/>
    <w:rsid w:val="00804F22"/>
    <w:rsid w:val="008147D1"/>
    <w:rsid w:val="0082055F"/>
    <w:rsid w:val="008219EF"/>
    <w:rsid w:val="008358FD"/>
    <w:rsid w:val="00841ADB"/>
    <w:rsid w:val="00845D2D"/>
    <w:rsid w:val="0085289A"/>
    <w:rsid w:val="00853AFD"/>
    <w:rsid w:val="00863E1B"/>
    <w:rsid w:val="0086565C"/>
    <w:rsid w:val="00870FC8"/>
    <w:rsid w:val="00871023"/>
    <w:rsid w:val="00871389"/>
    <w:rsid w:val="008733D2"/>
    <w:rsid w:val="008765CD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A7AC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35D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16F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1F"/>
    <w:rsid w:val="00C60297"/>
    <w:rsid w:val="00C72622"/>
    <w:rsid w:val="00C73B5C"/>
    <w:rsid w:val="00C90110"/>
    <w:rsid w:val="00C91833"/>
    <w:rsid w:val="00C91F67"/>
    <w:rsid w:val="00C92E4E"/>
    <w:rsid w:val="00C93355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0451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B6F41"/>
    <w:rsid w:val="00EC0785"/>
    <w:rsid w:val="00EC2DB7"/>
    <w:rsid w:val="00EC62A3"/>
    <w:rsid w:val="00ED2722"/>
    <w:rsid w:val="00EE60B3"/>
    <w:rsid w:val="00EF5EF5"/>
    <w:rsid w:val="00EF749C"/>
    <w:rsid w:val="00F02699"/>
    <w:rsid w:val="00F04A35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51B4"/>
    <w:rsid w:val="00FA7095"/>
    <w:rsid w:val="00FB0A86"/>
    <w:rsid w:val="00FB2B04"/>
    <w:rsid w:val="00FC3FCA"/>
    <w:rsid w:val="00FC6FC7"/>
    <w:rsid w:val="00FD5AA1"/>
    <w:rsid w:val="00FD7032"/>
    <w:rsid w:val="00FF4850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25A0F-ABE0-4D58-AE47-73A6758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9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119</cp:revision>
  <cp:lastPrinted>2023-11-10T05:30:00Z</cp:lastPrinted>
  <dcterms:created xsi:type="dcterms:W3CDTF">2022-02-16T08:55:00Z</dcterms:created>
  <dcterms:modified xsi:type="dcterms:W3CDTF">2024-12-29T04:55:00Z</dcterms:modified>
</cp:coreProperties>
</file>